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D3" w:rsidRPr="009A6EE8" w:rsidRDefault="006C42D3" w:rsidP="006C42D3">
      <w:pPr>
        <w:spacing w:after="0" w:line="240" w:lineRule="auto"/>
        <w:textAlignment w:val="baseline"/>
        <w:outlineLvl w:val="1"/>
        <w:rPr>
          <w:rFonts w:ascii="MyriadProRegular" w:eastAsia="Times New Roman" w:hAnsi="MyriadProRegular" w:cs="Times New Roman"/>
          <w:b/>
          <w:bCs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b/>
          <w:bCs/>
          <w:color w:val="333333"/>
          <w:sz w:val="28"/>
          <w:szCs w:val="28"/>
        </w:rPr>
        <w:t>Роз'яснення з найбільш актуальних питань</w:t>
      </w:r>
    </w:p>
    <w:p w:rsidR="006C42D3" w:rsidRPr="009A6EE8" w:rsidRDefault="006C42D3" w:rsidP="006C42D3">
      <w:pPr>
        <w:spacing w:after="0" w:line="240" w:lineRule="auto"/>
        <w:jc w:val="center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inherit" w:eastAsia="Times New Roman" w:hAnsi="inherit" w:cs="Times New Roman"/>
          <w:color w:val="FFFFFF"/>
          <w:sz w:val="28"/>
          <w:szCs w:val="28"/>
          <w:bdr w:val="none" w:sz="0" w:space="0" w:color="auto" w:frame="1"/>
        </w:rPr>
        <w:t>і</w:t>
      </w:r>
    </w:p>
    <w:p w:rsidR="006C42D3" w:rsidRPr="009A6EE8" w:rsidRDefault="006C42D3" w:rsidP="003A4A8B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inherit" w:eastAsia="Times New Roman" w:hAnsi="inherit" w:cs="Times New Roman"/>
          <w:color w:val="FFFFFF"/>
          <w:sz w:val="28"/>
          <w:szCs w:val="28"/>
          <w:bdr w:val="none" w:sz="0" w:space="0" w:color="auto" w:frame="1"/>
        </w:rPr>
        <w:t>і</w:t>
      </w:r>
      <w:r w:rsidR="003A4A8B" w:rsidRPr="009A6EE8">
        <w:rPr>
          <w:rFonts w:ascii="MyriadProRegular" w:eastAsia="Times New Roman" w:hAnsi="MyriadProRegular" w:cs="Times New Roman"/>
          <w:color w:val="333333"/>
          <w:sz w:val="28"/>
          <w:szCs w:val="28"/>
          <w:lang w:val="uk-UA"/>
        </w:rPr>
        <w:tab/>
      </w:r>
      <w:r w:rsidRPr="009A6EE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</w:rPr>
        <w:t>Порядок безоплатної приватизації земельних ділянок громадянами</w:t>
      </w:r>
    </w:p>
    <w:p w:rsidR="006C42D3" w:rsidRPr="009A6EE8" w:rsidRDefault="006C42D3" w:rsidP="006C42D3">
      <w:pPr>
        <w:spacing w:after="0" w:line="240" w:lineRule="auto"/>
        <w:jc w:val="center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(встановлено ст.118 </w:t>
      </w:r>
      <w:proofErr w:type="gramStart"/>
      <w:r w:rsidRPr="009A6EE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</w:rPr>
        <w:t>Земельного</w:t>
      </w:r>
      <w:proofErr w:type="gramEnd"/>
      <w:r w:rsidRPr="009A6EE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кодексу України)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1. Громадянин, зацікавлений у приватизації земельної ділянки, яка перебуває у його користуванні, подає заяву до відповідної районної, Київської чи Севастопольської міської державної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адм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іністрації або сільської, селищної, міської ради за місц</w:t>
      </w:r>
      <w:bookmarkStart w:id="0" w:name="_GoBack"/>
      <w:bookmarkEnd w:id="0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езнаходженням земельної ділянки.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2.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Р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ішення органів виконавчої влади та органів місцевого самоврядування щодо приватизації земельних ділянок приймається у місячний строк на підставі технічних матеріалів та документів, що підтверджують розмір земельної ділянки.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3. Громадяни – працівники державних та комунальних сільськогосподарських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п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ідприємств, установ та організацій, а також пенсіонери з їх числа, зацікавлені в одержанні безоплатно у власність земельних ділянок, які перебувають у постійному користуванні цих підприємств, установ та організацій, звертаються з клопотанням про приватизацію цих земель відповідно до сільської, селищної, міської ради або районної, Київської чи Севастопольської міської державної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адм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іністрації.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4. Відповідний орган місцевого самоврядування або орган виконавчої влади в місячний термін розглядає клопотання і надає дозвіл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п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ідприємствам, установам та організаціям на розробку проекту приватизації земель.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5. Передача земельних ділянок у власність громадянам – працівникам державних та комунальних сільськогосподарських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п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ідприємств, установ та організацій, а також пенсіонерам з їх числа провадиться після затвердження проекту приватизації земель у порядку, встановленому цим Кодексом.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6.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Громадяни, зацікавлені в одержанні безоплатно у власність земельної ділянки із земель державної або комунальної власності для ведення фермерського господарства, ведення особистого селянського господарства, ведення садівництва, будівництва і обслуговування жилого будинку, господарських будівель і споруд (присадибна ділянка), індивідуального дачного будівництва, будівництва індивідуальних гаражів у межах норм безоплатної приватизації, подають заяву про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 вибі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р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 місця розташування земельної ділянки до відповідної районної, Київської чи Севастопольської міської державної адміністрації або сільської, селищної, міської ради за місцезнаходженням земельної ділянки. До заяви додаються матеріали, передбачені частиною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п’ятою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 статті 151 цього Кодексу, а також висновки конкурсної комісії (у разі відведення земельної ділянки для ведення фермерського господарства).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7. Вибі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р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 місця розташування земельної ділянки та надання дозволу і вимог на розроблення проекту її відведення здійснюються у порядку, встановленому статтею 151 цього Кодексу.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8. Проект відведення земельної ділянки розробляється за замовленням громадян організаціями, які мають відповідні дозволи (ліцензії) на виконання цих виді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в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 робіт, у строки, що обумовлюються угодою сторін.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lastRenderedPageBreak/>
        <w:t xml:space="preserve">9. Проект відведення земельної ділянки погоджується з органом по земельних ресурсах, природоохоронним і санітарно-епідеміологічним органами, органами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арх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ітектури і охорони культурної спадщини та подається на розгляд відповідних місцевої державної адміністрації або органу місцевого самоврядування.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10. Районна, Київська чи Севастопольська міська державна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адм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іністрація або сільська, селищна, міська рада у місячний строк розглядає проект відведення та приймає рішення про передачу земельної ділянки у власність.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11. У разі відмови органу виконавчої влади чи органу місцевого самоврядування у передачі земельної ділянки у власність або залишення заяви без розгляду питання вирішується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в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 судовому порядку.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Додатково повідомляємо, що громадяни України мають право на безоплатну передачу їм земельних ділянок із земель державної або комунальної власності в таких розмірах: а) для ведення фермерського господарства – в розмі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р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і земельної частки (паю), визначеної для членів сільськогосподарських підприємств, розташованих на території сільської, селищної, міської ради, де знаходиться фермерське господарство. Якщо на території сільської, селищної, міської ради розташовано декілька сільськогосподарських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п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ідприємств, розмір земельної частки (паю) визначається як середній по цих підприємствах. У разі відсутності сільськогосподарських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п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ідприємств на території відповідної ради розмір земельної частки (паю) визначається як середній по району; б) для ведення особистого селянського господарства – не більше 2,0 гектара; в) для ведення садівництва – не більше 0,12 гектара;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г) для будівництва і обслуговування жилого будинку, господарських будівель і споруд (присадибна ділянка) у селах – не більше 0,25 гектара, в селищах – не більше 0,15 гектара, в містах – не більше 0,10 гектара; ґ) для індивідуального дачного будівництва – не більше 0,10 гектара;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 д) для будівництва індивідуальних гаражів – не більше 0,01 гектара.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inherit" w:eastAsia="Times New Roman" w:hAnsi="inherit" w:cs="Times New Roman"/>
          <w:color w:val="FFFFFF"/>
          <w:sz w:val="28"/>
          <w:szCs w:val="28"/>
          <w:bdr w:val="none" w:sz="0" w:space="0" w:color="auto" w:frame="1"/>
        </w:rPr>
        <w:t>і</w:t>
      </w:r>
    </w:p>
    <w:p w:rsidR="006C42D3" w:rsidRPr="009A6EE8" w:rsidRDefault="006C42D3" w:rsidP="003A4A8B">
      <w:pPr>
        <w:spacing w:after="0" w:line="240" w:lineRule="auto"/>
        <w:ind w:firstLine="720"/>
        <w:jc w:val="center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Які існують </w:t>
      </w:r>
      <w:proofErr w:type="gramStart"/>
      <w:r w:rsidRPr="009A6EE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9A6EE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</w:rPr>
        <w:t>ідстави для набуття права власності на земельні ділянки громадянами України?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Ст. 81 Земельного кодексу України визначено, що громадяни України набувають права власності на земельні ділянки на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п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ідставі: а) придбання за договором купівлі-продажу, дарування, міни, іншими цивільно-правовими угодами; б) безоплатної передачі із земель державної і комунальної власності; в) приватизації земельних ділянок, що були раніше надані їм у користування; г) прийняття спадщини; д) виділення в натурі (на місцевості) належної їм земельної частки (паю)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.З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гідно зі ст. 8–12 Земельного кодексу України, розпорядження землями, що перебувають у спільній власності територіальних громад, підготовка висновків щодо вилучення (викупу) та надання земельних ділянок із земель державної власності належить до повноважень обласних рад у галузі земельних відносин на території області, до повноважень Київської і Севастопольської міських рад у галузі земельних відносин на їх території, до повноважень сільських, селищних, міських рад у галузі земельних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в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ідносин на території сіл, селищ, міст.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inherit" w:eastAsia="Times New Roman" w:hAnsi="inherit" w:cs="Times New Roman"/>
          <w:color w:val="FFFFFF"/>
          <w:sz w:val="28"/>
          <w:szCs w:val="28"/>
          <w:bdr w:val="none" w:sz="0" w:space="0" w:color="auto" w:frame="1"/>
        </w:rPr>
        <w:lastRenderedPageBreak/>
        <w:t>і</w:t>
      </w:r>
    </w:p>
    <w:p w:rsidR="003A4A8B" w:rsidRPr="009A6EE8" w:rsidRDefault="006C42D3" w:rsidP="003A4A8B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  <w:lang w:val="uk-UA"/>
        </w:rPr>
      </w:pPr>
      <w:r w:rsidRPr="009A6EE8">
        <w:rPr>
          <w:rFonts w:ascii="inherit" w:eastAsia="Times New Roman" w:hAnsi="inherit" w:cs="Times New Roman"/>
          <w:color w:val="FFFFFF"/>
          <w:sz w:val="28"/>
          <w:szCs w:val="28"/>
          <w:bdr w:val="none" w:sz="0" w:space="0" w:color="auto" w:frame="1"/>
        </w:rPr>
        <w:t>і</w:t>
      </w:r>
      <w:r w:rsidR="003A4A8B" w:rsidRPr="009A6EE8">
        <w:rPr>
          <w:rFonts w:ascii="MyriadProRegular" w:eastAsia="Times New Roman" w:hAnsi="MyriadProRegular" w:cs="Times New Roman"/>
          <w:color w:val="333333"/>
          <w:sz w:val="28"/>
          <w:szCs w:val="28"/>
          <w:lang w:val="uk-UA"/>
        </w:rPr>
        <w:tab/>
      </w:r>
      <w:r w:rsidR="003A4A8B" w:rsidRPr="009A6EE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</w:rPr>
        <w:t>Про порядок присвоєння почесного звання України “Мати-героїня”</w:t>
      </w:r>
    </w:p>
    <w:p w:rsidR="003A4A8B" w:rsidRPr="009A6EE8" w:rsidRDefault="003A4A8B" w:rsidP="003A4A8B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Відповідно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до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Закону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 України “Про державні нагороди” почесне звання України є державною нагородою і є вищою формою відзначення громадян за видатні заслуги перед Україною. Згідно з Положенням про почесні звання України, затвердженим Указом Президента України від 29 червня 2001 року № 476/2001 почесне звання України “Мати-героїня” присвоюється жінкам, які народили і виховали до восьмирічного ві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ку п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’ятьох і більше дітей, у тому числі дітей, усиновлених у встановленому законодавством порядку, враховуючи вагомий особистий внесок у виховання дітей у сі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м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’ї, створення сприятливих умов для здобуття дітьми освіти, розвитку їх творчих здібностей, формування високих духовних і моральних якостей. Для присвоєння почесного звання України “Мати-героїня” потрібно попередньо звернутися до секретаря сільської ради з відповідним пакетом документів. У разі ухвалення позитивного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р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ішення орган місцевого самоврядування подає до відділу у справах сім’ї, молоді та спорту райдержадміністрації додаткові документи, а саме: подання про присвоєння почесного звання; нагородний лист встановленого зразка, у якому повинні бути зазначені характеристика сім’ї та конкретні заслуги особистості; витяг з протоколу засідання виконавчого комітету сільської ради, на якому було прийнято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р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ішення про висунення кандидатури до відзначення та інше. При прийнятті позитивного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р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ішення райдержадміністрацією до управління у справах молоді та спорту облдержадміністрації надсилається подання про присвоєння почесного звання разом з відповідним пакетом документів. У свою чергу управління у справах молоді та спорту облдержадміністрації готує потрібний пакет документів для подальшого розгляду його Комісією державних нагород України облдержадміністрації. Почесне звання України “Мати-героїня” присвоюється Указом Президента України.</w:t>
      </w:r>
    </w:p>
    <w:p w:rsidR="006C42D3" w:rsidRPr="009A6EE8" w:rsidRDefault="006C42D3" w:rsidP="003A4A8B">
      <w:pPr>
        <w:spacing w:after="0" w:line="240" w:lineRule="auto"/>
        <w:ind w:firstLine="720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</w:rPr>
        <w:t>Процедура дострокового припинення повноважень сільського голови</w:t>
      </w:r>
    </w:p>
    <w:p w:rsidR="006C42D3" w:rsidRPr="009A6EE8" w:rsidRDefault="006C42D3" w:rsidP="006C42D3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333333"/>
          <w:sz w:val="28"/>
          <w:szCs w:val="28"/>
        </w:rPr>
      </w:pP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Відповідно до п.3 статті 79 Закону України “Про місцеве самоврядування в Україні” (Дострокове припинення повноважень сільського, селищного, міського голови, голови районної у мі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ст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і, районної, обласної ради) повноваження сільського, селищного, міського голови за наявності підстав, передбачених частиною другою цієї статті, та в інших випадках можуть бути припинені достроково за рішенням місцевого референдуму або рішенням відповідної ради, прийнятим шляхом таємного голосування не менш як двома третинами голосів депутатів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в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ід загального складу ради. Порядок проведення місцевого референдуму щодо дострокового припинення повноважень сільського, селищного, міського голови визначається законом про місцеві референдуми. </w:t>
      </w:r>
      <w:proofErr w:type="gramStart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>Р</w:t>
      </w:r>
      <w:proofErr w:type="gramEnd"/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t xml:space="preserve">ішення про проведення місцевого референдуму щодо дострокового припинення повноважень сільського, селищного, міського голови приймається сільською, селищною, міською радою як за </w:t>
      </w:r>
      <w:r w:rsidRPr="009A6EE8">
        <w:rPr>
          <w:rFonts w:ascii="MyriadProRegular" w:eastAsia="Times New Roman" w:hAnsi="MyriadProRegular" w:cs="Times New Roman"/>
          <w:color w:val="333333"/>
          <w:sz w:val="28"/>
          <w:szCs w:val="28"/>
        </w:rPr>
        <w:lastRenderedPageBreak/>
        <w:t>власною ініціативою, так і на вимогу не менш як однієї десятої частини громадян, що проживають на відповідній території і мають право голосу.</w:t>
      </w:r>
    </w:p>
    <w:p w:rsidR="004E1EE3" w:rsidRPr="009A6EE8" w:rsidRDefault="004E1EE3">
      <w:pPr>
        <w:rPr>
          <w:sz w:val="28"/>
          <w:szCs w:val="28"/>
          <w:lang w:val="uk-UA"/>
        </w:rPr>
      </w:pPr>
    </w:p>
    <w:sectPr w:rsidR="004E1EE3" w:rsidRPr="009A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3"/>
    <w:rsid w:val="003A4A8B"/>
    <w:rsid w:val="004E1EE3"/>
    <w:rsid w:val="006C42D3"/>
    <w:rsid w:val="00927B9F"/>
    <w:rsid w:val="009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2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C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2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C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111</cp:lastModifiedBy>
  <cp:revision>2</cp:revision>
  <dcterms:created xsi:type="dcterms:W3CDTF">2020-07-02T08:42:00Z</dcterms:created>
  <dcterms:modified xsi:type="dcterms:W3CDTF">2020-07-02T08:42:00Z</dcterms:modified>
</cp:coreProperties>
</file>