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6668D6" w:rsidRDefault="00A30B42" w:rsidP="006668D6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68D6">
        <w:rPr>
          <w:rFonts w:ascii="Times New Roman" w:hAnsi="Times New Roman" w:cs="Times New Roman"/>
          <w:b/>
          <w:sz w:val="28"/>
          <w:szCs w:val="28"/>
        </w:rPr>
        <w:t xml:space="preserve">Усі підприємства енергетики повинні забезпечити надійне </w:t>
      </w:r>
      <w:r w:rsidR="000247ED" w:rsidRPr="006668D6">
        <w:rPr>
          <w:rFonts w:ascii="Times New Roman" w:hAnsi="Times New Roman" w:cs="Times New Roman"/>
          <w:b/>
          <w:sz w:val="28"/>
          <w:szCs w:val="28"/>
        </w:rPr>
        <w:t>і</w:t>
      </w:r>
      <w:r w:rsidR="003F1831" w:rsidRPr="006668D6">
        <w:rPr>
          <w:rFonts w:ascii="Times New Roman" w:hAnsi="Times New Roman" w:cs="Times New Roman"/>
          <w:b/>
          <w:sz w:val="28"/>
          <w:szCs w:val="28"/>
        </w:rPr>
        <w:t xml:space="preserve"> безпечне </w:t>
      </w:r>
      <w:r w:rsidR="008770DD" w:rsidRPr="006668D6">
        <w:rPr>
          <w:rFonts w:ascii="Times New Roman" w:hAnsi="Times New Roman" w:cs="Times New Roman"/>
          <w:b/>
          <w:sz w:val="28"/>
          <w:szCs w:val="28"/>
        </w:rPr>
        <w:t>постачання електр</w:t>
      </w:r>
      <w:r w:rsidR="000247ED" w:rsidRPr="006668D6">
        <w:rPr>
          <w:rFonts w:ascii="Times New Roman" w:hAnsi="Times New Roman" w:cs="Times New Roman"/>
          <w:b/>
          <w:sz w:val="28"/>
          <w:szCs w:val="28"/>
        </w:rPr>
        <w:t>ичної</w:t>
      </w:r>
      <w:r w:rsidR="008770DD" w:rsidRPr="006668D6">
        <w:rPr>
          <w:rFonts w:ascii="Times New Roman" w:hAnsi="Times New Roman" w:cs="Times New Roman"/>
          <w:b/>
          <w:sz w:val="28"/>
          <w:szCs w:val="28"/>
        </w:rPr>
        <w:t xml:space="preserve"> та тепл</w:t>
      </w:r>
      <w:r w:rsidR="000247ED" w:rsidRPr="006668D6">
        <w:rPr>
          <w:rFonts w:ascii="Times New Roman" w:hAnsi="Times New Roman" w:cs="Times New Roman"/>
          <w:b/>
          <w:sz w:val="28"/>
          <w:szCs w:val="28"/>
        </w:rPr>
        <w:t>ової енергії</w:t>
      </w:r>
      <w:r w:rsidR="008770DD" w:rsidRPr="006668D6">
        <w:rPr>
          <w:rFonts w:ascii="Times New Roman" w:hAnsi="Times New Roman" w:cs="Times New Roman"/>
          <w:b/>
          <w:sz w:val="28"/>
          <w:szCs w:val="28"/>
        </w:rPr>
        <w:t xml:space="preserve"> споживачам взимку</w:t>
      </w:r>
      <w:r w:rsidRPr="006668D6">
        <w:rPr>
          <w:rFonts w:ascii="Times New Roman" w:hAnsi="Times New Roman" w:cs="Times New Roman"/>
          <w:b/>
          <w:sz w:val="28"/>
          <w:szCs w:val="28"/>
        </w:rPr>
        <w:t>, – Роман Боднар</w:t>
      </w:r>
    </w:p>
    <w:p w:rsidR="0015417C" w:rsidRPr="006668D6" w:rsidRDefault="0015417C" w:rsidP="00666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Про це вчора, 10 листопада, заявив </w:t>
      </w:r>
      <w:proofErr w:type="spellStart"/>
      <w:r w:rsidRPr="006668D6">
        <w:rPr>
          <w:color w:val="000000"/>
          <w:sz w:val="28"/>
          <w:szCs w:val="28"/>
        </w:rPr>
        <w:t>т.в.о</w:t>
      </w:r>
      <w:proofErr w:type="spellEnd"/>
      <w:r w:rsidRPr="006668D6">
        <w:rPr>
          <w:color w:val="000000"/>
          <w:sz w:val="28"/>
          <w:szCs w:val="28"/>
        </w:rPr>
        <w:t xml:space="preserve">. Голови </w:t>
      </w:r>
      <w:proofErr w:type="spellStart"/>
      <w:r w:rsidRPr="006668D6">
        <w:rPr>
          <w:color w:val="000000"/>
          <w:sz w:val="28"/>
          <w:szCs w:val="28"/>
        </w:rPr>
        <w:t>Держенергонагляду</w:t>
      </w:r>
      <w:proofErr w:type="spellEnd"/>
      <w:r w:rsidRPr="006668D6">
        <w:rPr>
          <w:color w:val="000000"/>
          <w:sz w:val="28"/>
          <w:szCs w:val="28"/>
        </w:rPr>
        <w:t xml:space="preserve"> Роман Боднар під час засідання Колегії Міністерства енергетики України (далі – Колегія). Засідання відбулось під головуванням в.о. Міністра енергетики України Ольги </w:t>
      </w:r>
      <w:proofErr w:type="spellStart"/>
      <w:r w:rsidRPr="006668D6">
        <w:rPr>
          <w:color w:val="000000"/>
          <w:sz w:val="28"/>
          <w:szCs w:val="28"/>
        </w:rPr>
        <w:t>Буславець</w:t>
      </w:r>
      <w:proofErr w:type="spellEnd"/>
      <w:r w:rsidRPr="006668D6">
        <w:rPr>
          <w:color w:val="000000"/>
          <w:sz w:val="28"/>
          <w:szCs w:val="28"/>
        </w:rPr>
        <w:t>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Під час заходу членами Колегії було розглянуто стан підготовки об’єктів паливно-енергетичного комплексу України до проходження осінньо-зимового періоду 2020/2021 років (далі – ОЗП).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Відкриваючи засідання Ольга </w:t>
      </w:r>
      <w:proofErr w:type="spellStart"/>
      <w:r w:rsidRPr="006668D6">
        <w:rPr>
          <w:color w:val="000000"/>
          <w:sz w:val="28"/>
          <w:szCs w:val="28"/>
        </w:rPr>
        <w:t>Буславець</w:t>
      </w:r>
      <w:proofErr w:type="spellEnd"/>
      <w:r w:rsidRPr="006668D6">
        <w:rPr>
          <w:color w:val="000000"/>
          <w:sz w:val="28"/>
          <w:szCs w:val="28"/>
        </w:rPr>
        <w:t xml:space="preserve"> повідомила, що цього року Україна входить в осінньо-зимовий період з безпрецедентно великими запасами палива на складах. Також в.о. Міністра нагадала, що вже затверджено графіки ремонтів усіх генеруючих компаній на наступний рік і на підставі цього підготовлено та затверджено прогнозний баланс електроенергії на 2021 рік.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У ході зустрічі генеруючі компанії доповіли про стан підготовки енергоблоків до зими.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Зі свого боку, Роман Боднар представив результати проведеного </w:t>
      </w:r>
      <w:proofErr w:type="spellStart"/>
      <w:r w:rsidRPr="006668D6">
        <w:rPr>
          <w:color w:val="000000"/>
          <w:sz w:val="28"/>
          <w:szCs w:val="28"/>
        </w:rPr>
        <w:t>Держенергонаглядом</w:t>
      </w:r>
      <w:proofErr w:type="spellEnd"/>
      <w:r w:rsidRPr="006668D6">
        <w:rPr>
          <w:color w:val="000000"/>
          <w:sz w:val="28"/>
          <w:szCs w:val="28"/>
        </w:rPr>
        <w:t xml:space="preserve"> моніторингу технічного стану основного енергетичного обладнання та оцінку його готовності до роботи в осінньо-зимовий період. Розпочинаючи свою доповідь очільник відомства нагадав присутнім напрями діяльності </w:t>
      </w:r>
      <w:proofErr w:type="spellStart"/>
      <w:r w:rsidRPr="006668D6">
        <w:rPr>
          <w:color w:val="000000"/>
          <w:sz w:val="28"/>
          <w:szCs w:val="28"/>
        </w:rPr>
        <w:t>Держенергонагляду</w:t>
      </w:r>
      <w:proofErr w:type="spellEnd"/>
      <w:r w:rsidRPr="006668D6">
        <w:rPr>
          <w:color w:val="000000"/>
          <w:sz w:val="28"/>
          <w:szCs w:val="28"/>
        </w:rPr>
        <w:t xml:space="preserve">. Зокрема, це моніторинг виробників електричної та теплової енергії, оператора системи передачі електроенергії, операторів системи розподілу електричної енергії та системи теплопостачання. Також </w:t>
      </w:r>
      <w:proofErr w:type="spellStart"/>
      <w:r w:rsidRPr="006668D6">
        <w:rPr>
          <w:color w:val="000000"/>
          <w:sz w:val="28"/>
          <w:szCs w:val="28"/>
        </w:rPr>
        <w:t>т.в.о</w:t>
      </w:r>
      <w:proofErr w:type="spellEnd"/>
      <w:r w:rsidRPr="006668D6">
        <w:rPr>
          <w:color w:val="000000"/>
          <w:sz w:val="28"/>
          <w:szCs w:val="28"/>
        </w:rPr>
        <w:t xml:space="preserve">. Голови повідомив, що у період з 17 серпня по 09 листопада представники </w:t>
      </w:r>
      <w:proofErr w:type="spellStart"/>
      <w:r w:rsidRPr="006668D6">
        <w:rPr>
          <w:color w:val="000000"/>
          <w:sz w:val="28"/>
          <w:szCs w:val="28"/>
        </w:rPr>
        <w:t>Держенергонагляду</w:t>
      </w:r>
      <w:proofErr w:type="spellEnd"/>
      <w:r w:rsidRPr="006668D6">
        <w:rPr>
          <w:color w:val="000000"/>
          <w:sz w:val="28"/>
          <w:szCs w:val="28"/>
        </w:rPr>
        <w:t xml:space="preserve"> взяли участь у роботі Комісій з перевірки готовності до роботи в осінньо-зимовий період 2020/2021 років (далі – Комісія) 66 </w:t>
      </w:r>
      <w:proofErr w:type="spellStart"/>
      <w:r w:rsidRPr="006668D6">
        <w:rPr>
          <w:color w:val="000000"/>
          <w:sz w:val="28"/>
          <w:szCs w:val="28"/>
        </w:rPr>
        <w:t>енергопідприємств</w:t>
      </w:r>
      <w:proofErr w:type="spellEnd"/>
      <w:r w:rsidRPr="006668D6">
        <w:rPr>
          <w:color w:val="000000"/>
          <w:sz w:val="28"/>
          <w:szCs w:val="28"/>
        </w:rPr>
        <w:t>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«Станом на 09 листопада Комісії завершили свою роботу на 56 </w:t>
      </w:r>
      <w:proofErr w:type="spellStart"/>
      <w:r w:rsidRPr="006668D6">
        <w:rPr>
          <w:color w:val="000000"/>
          <w:sz w:val="28"/>
          <w:szCs w:val="28"/>
        </w:rPr>
        <w:t>енергопідприємствах</w:t>
      </w:r>
      <w:proofErr w:type="spellEnd"/>
      <w:r w:rsidRPr="006668D6">
        <w:rPr>
          <w:color w:val="000000"/>
          <w:sz w:val="28"/>
          <w:szCs w:val="28"/>
        </w:rPr>
        <w:t xml:space="preserve">. За результатами участі у Комісіях </w:t>
      </w:r>
      <w:proofErr w:type="spellStart"/>
      <w:r w:rsidRPr="006668D6">
        <w:rPr>
          <w:color w:val="000000"/>
          <w:sz w:val="28"/>
          <w:szCs w:val="28"/>
        </w:rPr>
        <w:t>Держенергонаглядом</w:t>
      </w:r>
      <w:proofErr w:type="spellEnd"/>
      <w:r w:rsidRPr="006668D6">
        <w:rPr>
          <w:color w:val="000000"/>
          <w:sz w:val="28"/>
          <w:szCs w:val="28"/>
        </w:rPr>
        <w:t xml:space="preserve"> видано 55 висновків об'єктам електроенергетики, в яких зазначено обов'язкові до виконання 643 зауваження. На сьогодні </w:t>
      </w:r>
      <w:proofErr w:type="spellStart"/>
      <w:r w:rsidRPr="006668D6">
        <w:rPr>
          <w:color w:val="000000"/>
          <w:sz w:val="28"/>
          <w:szCs w:val="28"/>
        </w:rPr>
        <w:t>енергопідприємствами</w:t>
      </w:r>
      <w:proofErr w:type="spellEnd"/>
      <w:r w:rsidRPr="006668D6">
        <w:rPr>
          <w:color w:val="000000"/>
          <w:sz w:val="28"/>
          <w:szCs w:val="28"/>
        </w:rPr>
        <w:t xml:space="preserve"> вже усунуто 269 зауважень. Виконання ще 374 заходів з підготовки до роботи в ОЗП залишаються на контролі </w:t>
      </w:r>
      <w:proofErr w:type="spellStart"/>
      <w:r w:rsidRPr="006668D6">
        <w:rPr>
          <w:color w:val="000000"/>
          <w:sz w:val="28"/>
          <w:szCs w:val="28"/>
        </w:rPr>
        <w:t>Держенергонагляду</w:t>
      </w:r>
      <w:proofErr w:type="spellEnd"/>
      <w:r w:rsidRPr="006668D6">
        <w:rPr>
          <w:color w:val="000000"/>
          <w:sz w:val="28"/>
          <w:szCs w:val="28"/>
        </w:rPr>
        <w:t>», – зазначив Роман Боднар.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Крім того, Роман Боднар поінформував, що </w:t>
      </w:r>
      <w:proofErr w:type="spellStart"/>
      <w:r w:rsidRPr="006668D6">
        <w:rPr>
          <w:color w:val="000000"/>
          <w:sz w:val="28"/>
          <w:szCs w:val="28"/>
        </w:rPr>
        <w:t>Держенергонаглядом</w:t>
      </w:r>
      <w:proofErr w:type="spellEnd"/>
      <w:r w:rsidRPr="006668D6">
        <w:rPr>
          <w:color w:val="000000"/>
          <w:sz w:val="28"/>
          <w:szCs w:val="28"/>
        </w:rPr>
        <w:t xml:space="preserve"> здійснено моніторинг стану готовності об’єктів електричних мереж до роботи в ОЗП 29 операторів системи розподілу електричної енергії (ОСР). За результатами моніторингів було виявлено 4 851 порушення вимог нормативних документів у галузі електроенергетики, серед яких:</w:t>
      </w:r>
    </w:p>
    <w:p w:rsidR="006668D6" w:rsidRPr="006668D6" w:rsidRDefault="006668D6" w:rsidP="00666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t>не проведено у повному обсязі капітальні та поточні ремонти обладнання ПЛ і ПС 150-35 кВ;</w:t>
      </w:r>
    </w:p>
    <w:p w:rsidR="006668D6" w:rsidRPr="006668D6" w:rsidRDefault="006668D6" w:rsidP="00666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проведено технічне обслуговування РЗА та ПА на ПС 150/110/35/10 кВ;</w:t>
      </w:r>
    </w:p>
    <w:p w:rsidR="006668D6" w:rsidRPr="006668D6" w:rsidRDefault="006668D6" w:rsidP="00666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t>не виконано у повному обсязі заходи, заплановані розділом 5.1 Інвестиційних програм на 2020 рік;</w:t>
      </w:r>
    </w:p>
    <w:p w:rsidR="006668D6" w:rsidRPr="006668D6" w:rsidRDefault="006668D6" w:rsidP="006668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t>не проведено у повному обсязі випробування електрообладнання ПС 150-35 кВ тощо.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«З метою забезпечення надійного і сталого функціонування об’єднаної енергетичної системи України, надійного енергопостачання споживачів електричної й теплової енергії та безпеки постачання електричної енергії, ОСР мають завершити у строк до 15 грудня реалізацію розроблених на підставі вимог </w:t>
      </w:r>
      <w:hyperlink r:id="rId6" w:anchor="Text" w:history="1">
        <w:r w:rsidRPr="006668D6">
          <w:rPr>
            <w:rStyle w:val="a3"/>
            <w:color w:val="0181B9"/>
            <w:sz w:val="28"/>
            <w:szCs w:val="28"/>
          </w:rPr>
          <w:t>Положення</w:t>
        </w:r>
      </w:hyperlink>
      <w:r w:rsidRPr="006668D6">
        <w:rPr>
          <w:color w:val="000000"/>
          <w:sz w:val="28"/>
          <w:szCs w:val="28"/>
        </w:rPr>
        <w:t> про порядок оцінки готовності об’єктів електроенергетики до роботи в осінньо-зимовий період заходів, спрямованих на приведення технічного стану і організації експлуатації об'єктів електричних мереж у відповідність до вимог правил та стандартів у галузі електроенергетики», – наголосив Роман Боднар.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 xml:space="preserve">Також </w:t>
      </w:r>
      <w:proofErr w:type="spellStart"/>
      <w:r w:rsidRPr="006668D6">
        <w:rPr>
          <w:color w:val="000000"/>
          <w:sz w:val="28"/>
          <w:szCs w:val="28"/>
        </w:rPr>
        <w:t>т.в.о</w:t>
      </w:r>
      <w:proofErr w:type="spellEnd"/>
      <w:r w:rsidRPr="006668D6">
        <w:rPr>
          <w:color w:val="000000"/>
          <w:sz w:val="28"/>
          <w:szCs w:val="28"/>
        </w:rPr>
        <w:t xml:space="preserve">. Голови повідомив, що представниками </w:t>
      </w:r>
      <w:proofErr w:type="spellStart"/>
      <w:r w:rsidRPr="006668D6">
        <w:rPr>
          <w:color w:val="000000"/>
          <w:sz w:val="28"/>
          <w:szCs w:val="28"/>
        </w:rPr>
        <w:t>Держенергонагляду</w:t>
      </w:r>
      <w:proofErr w:type="spellEnd"/>
      <w:r w:rsidRPr="006668D6">
        <w:rPr>
          <w:color w:val="000000"/>
          <w:sz w:val="28"/>
          <w:szCs w:val="28"/>
        </w:rPr>
        <w:t xml:space="preserve"> здійснено моніторинг 25 тисяч теплоенергетичних об’єктів, з них:</w:t>
      </w:r>
    </w:p>
    <w:p w:rsidR="006668D6" w:rsidRPr="006668D6" w:rsidRDefault="006668D6" w:rsidP="00666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t>4,5 тис. джерел теплової енергії з приєднаними до них тепловими мережами;</w:t>
      </w:r>
    </w:p>
    <w:p w:rsidR="006668D6" w:rsidRPr="006668D6" w:rsidRDefault="006668D6" w:rsidP="006668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D6">
        <w:rPr>
          <w:rFonts w:ascii="Times New Roman" w:hAnsi="Times New Roman" w:cs="Times New Roman"/>
          <w:color w:val="000000"/>
          <w:sz w:val="28"/>
          <w:szCs w:val="28"/>
        </w:rPr>
        <w:t xml:space="preserve">20,5 тис. систем </w:t>
      </w:r>
      <w:proofErr w:type="spellStart"/>
      <w:r w:rsidRPr="006668D6">
        <w:rPr>
          <w:rFonts w:ascii="Times New Roman" w:hAnsi="Times New Roman" w:cs="Times New Roman"/>
          <w:color w:val="000000"/>
          <w:sz w:val="28"/>
          <w:szCs w:val="28"/>
        </w:rPr>
        <w:t>теплоспоживання</w:t>
      </w:r>
      <w:proofErr w:type="spellEnd"/>
      <w:r w:rsidRPr="006668D6">
        <w:rPr>
          <w:rFonts w:ascii="Times New Roman" w:hAnsi="Times New Roman" w:cs="Times New Roman"/>
          <w:color w:val="000000"/>
          <w:sz w:val="28"/>
          <w:szCs w:val="28"/>
        </w:rPr>
        <w:t xml:space="preserve"> споживачів теплової енергії (заклади охорони здоров’я, освіти та дошкільної освіти тощо).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«За результатами проведених моніторингів було виявлено 2 762 порушення вимог діючих норм і правил у сфері теплопостачання. З метою усунення порушень керівникам суб’єктів господарювання було надано рекомендації у вигляді довідок з переліком невідкладних заходів, які необхідно усунути у встановлені терміни. Станом на 05 листопада суб’єкти відносин у сфері теплопостачання усунули 2 412 порушень (87%)», – підкреслив очільник інспекції.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Водночас Роман Боднар зауважив, що одним із головних критеріїв оцінки готовності об'єктів електроенергетики до роботи в ОЗП є показник аварійності. Так, кількість технологічних порушень на об’єктах електроенергетики за 10 місяців 2020 року у порівняні з аналогічним періодом 2019 року зросла з 311 до 317, класифікованих як відмови 1 та 2 категорій відповідно до </w:t>
      </w:r>
      <w:hyperlink r:id="rId7" w:anchor="Text" w:history="1">
        <w:r w:rsidRPr="006668D6">
          <w:rPr>
            <w:rStyle w:val="a3"/>
            <w:color w:val="0181B9"/>
            <w:sz w:val="28"/>
            <w:szCs w:val="28"/>
          </w:rPr>
          <w:t>Інструкції</w:t>
        </w:r>
      </w:hyperlink>
      <w:r w:rsidRPr="006668D6">
        <w:rPr>
          <w:color w:val="000000"/>
          <w:sz w:val="28"/>
          <w:szCs w:val="28"/>
        </w:rPr>
        <w:t> про розслідування і облік технологічних порушень на об’єктах електроенергетики і в об’єднаній енергетичній системі України.</w:t>
      </w:r>
    </w:p>
    <w:p w:rsidR="006668D6" w:rsidRPr="006668D6" w:rsidRDefault="006668D6" w:rsidP="006668D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68D6">
        <w:rPr>
          <w:color w:val="000000"/>
          <w:sz w:val="28"/>
          <w:szCs w:val="28"/>
        </w:rPr>
        <w:t>Наприкінці засідання члени Колегії обговорили важливі питання щодо підготовки та стабільного проходження ОЗП, а також ухвалили рішення стосовно відзначення працівників енергетичної галузі нагородами.</w:t>
      </w: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9F" w:rsidRDefault="00E35F9F" w:rsidP="00565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F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58DE"/>
    <w:multiLevelType w:val="multilevel"/>
    <w:tmpl w:val="FF34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E3E04"/>
    <w:multiLevelType w:val="multilevel"/>
    <w:tmpl w:val="D9C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A18D3"/>
    <w:multiLevelType w:val="hybridMultilevel"/>
    <w:tmpl w:val="60484232"/>
    <w:lvl w:ilvl="0" w:tplc="C9263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44BAC"/>
    <w:multiLevelType w:val="hybridMultilevel"/>
    <w:tmpl w:val="809C83A2"/>
    <w:lvl w:ilvl="0" w:tplc="53B485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0"/>
    <w:rsid w:val="00015E60"/>
    <w:rsid w:val="000247ED"/>
    <w:rsid w:val="0006287D"/>
    <w:rsid w:val="000806DE"/>
    <w:rsid w:val="0008181C"/>
    <w:rsid w:val="00082F02"/>
    <w:rsid w:val="0015417C"/>
    <w:rsid w:val="0016433B"/>
    <w:rsid w:val="001D4873"/>
    <w:rsid w:val="00251D48"/>
    <w:rsid w:val="002C4F75"/>
    <w:rsid w:val="002F3931"/>
    <w:rsid w:val="003051FE"/>
    <w:rsid w:val="003A5F77"/>
    <w:rsid w:val="003F1831"/>
    <w:rsid w:val="003F1EE0"/>
    <w:rsid w:val="00452C3D"/>
    <w:rsid w:val="00456FC3"/>
    <w:rsid w:val="004752D7"/>
    <w:rsid w:val="0048602D"/>
    <w:rsid w:val="004C3766"/>
    <w:rsid w:val="00531976"/>
    <w:rsid w:val="00540603"/>
    <w:rsid w:val="005654C2"/>
    <w:rsid w:val="0059156D"/>
    <w:rsid w:val="005D0E74"/>
    <w:rsid w:val="006057F3"/>
    <w:rsid w:val="00622AA5"/>
    <w:rsid w:val="006668D6"/>
    <w:rsid w:val="00677ED0"/>
    <w:rsid w:val="00745B83"/>
    <w:rsid w:val="007E6506"/>
    <w:rsid w:val="00804CD8"/>
    <w:rsid w:val="00823DD5"/>
    <w:rsid w:val="00845674"/>
    <w:rsid w:val="00850BB0"/>
    <w:rsid w:val="00874FC6"/>
    <w:rsid w:val="008770DD"/>
    <w:rsid w:val="008F5FEB"/>
    <w:rsid w:val="008F7999"/>
    <w:rsid w:val="00956522"/>
    <w:rsid w:val="009D1297"/>
    <w:rsid w:val="00A037F1"/>
    <w:rsid w:val="00A30B42"/>
    <w:rsid w:val="00A477B7"/>
    <w:rsid w:val="00AF392B"/>
    <w:rsid w:val="00B312F1"/>
    <w:rsid w:val="00B3380E"/>
    <w:rsid w:val="00B5416E"/>
    <w:rsid w:val="00B91507"/>
    <w:rsid w:val="00BB5916"/>
    <w:rsid w:val="00C424C8"/>
    <w:rsid w:val="00C57246"/>
    <w:rsid w:val="00D95212"/>
    <w:rsid w:val="00E35F9F"/>
    <w:rsid w:val="00E60699"/>
    <w:rsid w:val="00E674FB"/>
    <w:rsid w:val="00E81323"/>
    <w:rsid w:val="00E8715C"/>
    <w:rsid w:val="00EE1453"/>
    <w:rsid w:val="00FA68AD"/>
    <w:rsid w:val="00FF577B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6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1D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zk7">
    <w:name w:val="_5zk7"/>
    <w:basedOn w:val="a0"/>
    <w:rsid w:val="00E35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6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1D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zk7">
    <w:name w:val="_5zk7"/>
    <w:basedOn w:val="a0"/>
    <w:rsid w:val="00E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165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064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інспекція енергетичного нагляду України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Галина Костянтинівна</dc:creator>
  <cp:lastModifiedBy>111</cp:lastModifiedBy>
  <cp:revision>2</cp:revision>
  <dcterms:created xsi:type="dcterms:W3CDTF">2020-11-12T09:35:00Z</dcterms:created>
  <dcterms:modified xsi:type="dcterms:W3CDTF">2020-11-12T09:35:00Z</dcterms:modified>
</cp:coreProperties>
</file>